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F6B4" w14:textId="42640553" w:rsidR="003B6F57" w:rsidRPr="004D4103" w:rsidRDefault="003B6F57" w:rsidP="003B6F57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="00F86FFF">
              <w:rPr>
                <w:b/>
                <w:sz w:val="22"/>
                <w:szCs w:val="22"/>
              </w:rPr>
              <w:t>in fase di presentazione</w:t>
            </w:r>
          </w:p>
          <w:p w14:paraId="42ED23CC" w14:textId="2BFE1EEC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B867A6">
              <w:rPr>
                <w:b/>
                <w:sz w:val="32"/>
                <w:szCs w:val="32"/>
              </w:rPr>
              <w:t>dell’acconciatura</w:t>
            </w:r>
            <w:r w:rsidR="004D4103">
              <w:rPr>
                <w:b/>
                <w:sz w:val="32"/>
                <w:szCs w:val="32"/>
              </w:rPr>
              <w:t xml:space="preserve"> </w:t>
            </w:r>
            <w:r w:rsidR="003B6F57">
              <w:rPr>
                <w:b/>
                <w:sz w:val="32"/>
                <w:szCs w:val="32"/>
              </w:rPr>
              <w:t>– IeFP 202</w:t>
            </w:r>
            <w:r w:rsidR="00F86FFF">
              <w:rPr>
                <w:b/>
                <w:sz w:val="32"/>
                <w:szCs w:val="32"/>
              </w:rPr>
              <w:t>3</w:t>
            </w:r>
            <w:r w:rsidR="003B6F57">
              <w:rPr>
                <w:b/>
                <w:sz w:val="32"/>
                <w:szCs w:val="32"/>
              </w:rPr>
              <w:t>-202</w:t>
            </w:r>
            <w:r w:rsidR="00F86FFF">
              <w:rPr>
                <w:b/>
                <w:sz w:val="32"/>
                <w:szCs w:val="32"/>
              </w:rPr>
              <w:t>5</w:t>
            </w:r>
          </w:p>
          <w:p w14:paraId="32BA4A0F" w14:textId="77777777" w:rsidR="00F86FFF" w:rsidRPr="00F86FFF" w:rsidRDefault="00F86FFF" w:rsidP="00F86FFF">
            <w:pPr>
              <w:spacing w:line="233" w:lineRule="atLeast"/>
              <w:jc w:val="center"/>
              <w:rPr>
                <w:rFonts w:ascii="Arial" w:eastAsia="ヒラギノ角ゴ Pro W3" w:hAnsi="Arial" w:cs="Arial"/>
                <w:b/>
                <w:sz w:val="22"/>
                <w:szCs w:val="22"/>
              </w:rPr>
            </w:pPr>
            <w:bookmarkStart w:id="0" w:name="_Hlk138238246"/>
            <w:r w:rsidRPr="00F86FFF">
              <w:rPr>
                <w:rFonts w:ascii="Arial" w:eastAsia="ヒラギノ角ゴ Pro W3" w:hAnsi="Arial" w:cs="Arial"/>
                <w:b/>
                <w:sz w:val="22"/>
                <w:szCs w:val="22"/>
              </w:rPr>
              <w:t>Percorsi di Istruzione e Formazione Professionale - Coﬁnanziati dall’Unione Europea, riferimento DGR 581/2023</w:t>
            </w:r>
          </w:p>
          <w:bookmarkEnd w:id="0"/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B5E897F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67A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</w:t>
            </w:r>
            <w:r w:rsidR="0067120E"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in grado di </w:t>
            </w:r>
            <w:r w:rsidR="0067120E" w:rsidRPr="00AB569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predisporre e allestire correttamente l’area di lavoro, di assistere il cliente durante la permanenza nel salone di acconciatura e di eseguire i trattamenti e le operazioni di base per la detersione e la cura estetica del capello e del cuoio capelluto, secondo specifici dispositivi e misure igienico-sanitarie e in coerenza con i trattamenti e il tipo di acconciatura previsti per il cliente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B94E" w14:textId="77777777" w:rsidR="00BF25D2" w:rsidRPr="003E5BC3" w:rsidRDefault="00BF25D2" w:rsidP="00BF25D2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 w:rsidRPr="00B3638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, </w:t>
            </w:r>
            <w:r w:rsidRPr="001E4B3F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allestimento ambienti e attrezzature nel rispetto delle normative di sicurezza e igienico-sanitarie, assistenza ai clienti, allestimento spazi e fidelizzazione del cliente,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detersione e cura del capello, trattamento capelli e acconciatura</w:t>
            </w:r>
          </w:p>
          <w:p w14:paraId="5960979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69A5374D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biologia</w:t>
            </w:r>
          </w:p>
          <w:p w14:paraId="024779F1" w14:textId="77777777" w:rsidR="00BF25D2" w:rsidRPr="00087F7E" w:rsidRDefault="00BF25D2" w:rsidP="00BF25D2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0B1DB46C" w:rsidR="006E4A5A" w:rsidRPr="00087F7E" w:rsidRDefault="00BF25D2" w:rsidP="00BF25D2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</w:t>
            </w:r>
            <w:r w:rsidR="006E4A5A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4323D3A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03F7B" w:rsidRPr="00087F7E">
              <w:rPr>
                <w:rFonts w:ascii="Arial" w:hAnsi="Arial" w:cs="Arial"/>
                <w:sz w:val="19"/>
                <w:szCs w:val="19"/>
              </w:rPr>
              <w:t xml:space="preserve">Via </w:t>
            </w:r>
            <w:r w:rsidR="00603F7B">
              <w:rPr>
                <w:rFonts w:ascii="Arial" w:hAnsi="Arial" w:cs="Arial"/>
                <w:sz w:val="19"/>
                <w:szCs w:val="19"/>
              </w:rPr>
              <w:t>Camillo Prampolini 2 - 42035 Castelnovo ne’ Monti (RE)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67F3A2D4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673 di aula e 317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8BA853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52E8B699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</w:t>
            </w:r>
            <w:r w:rsidR="00F86F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– Giugno 202</w:t>
            </w:r>
            <w:r w:rsidR="00F86F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8030EAC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F86FFF">
              <w:rPr>
                <w:b/>
              </w:rPr>
              <w:t>2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44D80C5B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anno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5B0CF7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dell’acconciatura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235AEBEE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/202</w:t>
            </w:r>
            <w:r w:rsidR="00F86FFF">
              <w:rPr>
                <w:rFonts w:ascii="Arial" w:eastAsia="ヒラギノ角ゴ Pro W3" w:hAnsi="Arial" w:cs="Arial"/>
                <w:b/>
                <w:sz w:val="20"/>
                <w:szCs w:val="20"/>
              </w:rPr>
              <w:t>3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647A066E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 w:rsidR="00F86FFF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3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00D70C0E" w:rsidR="00283983" w:rsidRPr="00087F7E" w:rsidRDefault="00967881" w:rsidP="00A13F6D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41E1" w14:textId="77777777" w:rsidR="004F2F14" w:rsidRDefault="004F2F14">
      <w:r>
        <w:separator/>
      </w:r>
    </w:p>
  </w:endnote>
  <w:endnote w:type="continuationSeparator" w:id="0">
    <w:p w14:paraId="4F94E006" w14:textId="77777777" w:rsidR="004F2F14" w:rsidRDefault="004F2F14">
      <w:r>
        <w:continuationSeparator/>
      </w:r>
    </w:p>
  </w:endnote>
  <w:endnote w:type="continuationNotice" w:id="1">
    <w:p w14:paraId="075A3EAA" w14:textId="77777777" w:rsidR="007041FF" w:rsidRDefault="00704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F86FFF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F86FFF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0410FDA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7609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Massimo Guarino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0410FDA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760932">
                      <w:rPr>
                        <w:rFonts w:ascii="Arial" w:hAnsi="Arial" w:cs="Arial"/>
                        <w:sz w:val="16"/>
                        <w:szCs w:val="16"/>
                      </w:rPr>
                      <w:t>Massimo Guarino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5A5A" w14:textId="77777777" w:rsidR="004F2F14" w:rsidRDefault="004F2F14">
      <w:r>
        <w:separator/>
      </w:r>
    </w:p>
  </w:footnote>
  <w:footnote w:type="continuationSeparator" w:id="0">
    <w:p w14:paraId="7A2566DF" w14:textId="77777777" w:rsidR="004F2F14" w:rsidRDefault="004F2F14">
      <w:r>
        <w:continuationSeparator/>
      </w:r>
    </w:p>
  </w:footnote>
  <w:footnote w:type="continuationNotice" w:id="1">
    <w:p w14:paraId="6F0EE706" w14:textId="77777777" w:rsidR="007041FF" w:rsidRDefault="00704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4A5C870A" w:rsidR="00420A6B" w:rsidRDefault="00F86FFF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  <w:r w:rsidRPr="00881430">
      <w:rPr>
        <w:rFonts w:ascii="Calibri" w:hAnsi="Calibri" w:cs="Calibri"/>
        <w:noProof/>
      </w:rPr>
      <w:drawing>
        <wp:inline distT="0" distB="0" distL="0" distR="0" wp14:anchorId="5AB563A5" wp14:editId="0494832B">
          <wp:extent cx="6116320" cy="556260"/>
          <wp:effectExtent l="0" t="0" r="0" b="0"/>
          <wp:docPr id="11999888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7B023" w14:textId="38B5E539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B6F57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278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03F7B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1FF"/>
    <w:rsid w:val="007049B8"/>
    <w:rsid w:val="00713DD7"/>
    <w:rsid w:val="00732ACE"/>
    <w:rsid w:val="0076093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610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13F6D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2AA7"/>
    <w:rsid w:val="00AC6FA6"/>
    <w:rsid w:val="00AE1C57"/>
    <w:rsid w:val="00AE54D8"/>
    <w:rsid w:val="00AF2D78"/>
    <w:rsid w:val="00AF2E6F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2792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86FFF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420D5DD6-1E6C-41FB-877E-B1C957C7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2831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3</cp:revision>
  <cp:lastPrinted>2018-07-13T10:37:00Z</cp:lastPrinted>
  <dcterms:created xsi:type="dcterms:W3CDTF">2023-06-26T09:51:00Z</dcterms:created>
  <dcterms:modified xsi:type="dcterms:W3CDTF">2023-06-26T09:54:00Z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